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3FCD" w14:textId="77777777" w:rsidR="00017563" w:rsidRPr="00017563" w:rsidRDefault="00017563" w:rsidP="00017563">
      <w:pPr>
        <w:jc w:val="both"/>
        <w:rPr>
          <w:rFonts w:ascii="Times New Roman" w:hAnsi="Times New Roman" w:cs="Times New Roman"/>
          <w:b/>
          <w:bCs/>
          <w:lang w:val="en-US"/>
        </w:rPr>
      </w:pPr>
      <w:r w:rsidRPr="00017563">
        <w:rPr>
          <w:rFonts w:ascii="Times New Roman" w:hAnsi="Times New Roman" w:cs="Times New Roman"/>
          <w:b/>
          <w:bCs/>
          <w:lang w:val="en-US"/>
        </w:rPr>
        <w:t>Smoking Ban in Estonian Prisons – ECHR Grand Chamber</w:t>
      </w:r>
    </w:p>
    <w:p w14:paraId="6691CE0C" w14:textId="03DD0596" w:rsidR="00F637CF" w:rsidRPr="00822732" w:rsidRDefault="00F637CF" w:rsidP="00F637CF">
      <w:pPr>
        <w:jc w:val="both"/>
        <w:rPr>
          <w:rFonts w:ascii="Times New Roman" w:hAnsi="Times New Roman" w:cs="Times New Roman"/>
          <w:lang w:val="en-US"/>
        </w:rPr>
      </w:pPr>
      <w:r w:rsidRPr="00F637CF">
        <w:rPr>
          <w:rFonts w:ascii="Times New Roman" w:hAnsi="Times New Roman" w:cs="Times New Roman"/>
          <w:lang w:val="en-US"/>
        </w:rPr>
        <w:t>Estonia emphasizes the importance of public health, prison security, and the margin of appreciation of states in the Grand Chamber proceedings of the European Court of Human Rights (ECHR).</w:t>
      </w:r>
      <w:r w:rsidRPr="00822732">
        <w:rPr>
          <w:rFonts w:ascii="Times New Roman" w:hAnsi="Times New Roman" w:cs="Times New Roman"/>
          <w:lang w:val="en-US"/>
        </w:rPr>
        <w:t xml:space="preserve"> </w:t>
      </w:r>
      <w:r w:rsidRPr="00F637CF">
        <w:rPr>
          <w:rFonts w:ascii="Times New Roman" w:hAnsi="Times New Roman" w:cs="Times New Roman"/>
          <w:lang w:val="en-US"/>
        </w:rPr>
        <w:t>Smoke-free prisons are a measure to protect the health of detainees and staff, not a punitive restriction.</w:t>
      </w:r>
      <w:r w:rsidRPr="00822732">
        <w:rPr>
          <w:rFonts w:ascii="Times New Roman" w:hAnsi="Times New Roman" w:cs="Times New Roman"/>
          <w:lang w:val="en-US"/>
        </w:rPr>
        <w:t xml:space="preserve"> </w:t>
      </w:r>
      <w:r w:rsidRPr="00F637CF">
        <w:rPr>
          <w:rFonts w:ascii="Times New Roman" w:hAnsi="Times New Roman" w:cs="Times New Roman"/>
          <w:lang w:val="en-US"/>
        </w:rPr>
        <w:t xml:space="preserve">We kindly ask </w:t>
      </w:r>
      <w:r w:rsidR="00432AD2" w:rsidRPr="00822732">
        <w:rPr>
          <w:rFonts w:ascii="Times New Roman" w:hAnsi="Times New Roman" w:cs="Times New Roman"/>
          <w:lang w:val="en-US"/>
        </w:rPr>
        <w:t>you</w:t>
      </w:r>
      <w:r w:rsidRPr="00F637CF">
        <w:rPr>
          <w:rFonts w:ascii="Times New Roman" w:hAnsi="Times New Roman" w:cs="Times New Roman"/>
          <w:lang w:val="en-US"/>
        </w:rPr>
        <w:t xml:space="preserve"> to highlight the fundamental significance of this case </w:t>
      </w:r>
      <w:r w:rsidR="00432AD2" w:rsidRPr="00822732">
        <w:rPr>
          <w:rFonts w:ascii="Times New Roman" w:hAnsi="Times New Roman" w:cs="Times New Roman"/>
          <w:lang w:val="en-US"/>
        </w:rPr>
        <w:t>and</w:t>
      </w:r>
      <w:r w:rsidRPr="00F637CF">
        <w:rPr>
          <w:rFonts w:ascii="Times New Roman" w:hAnsi="Times New Roman" w:cs="Times New Roman"/>
          <w:lang w:val="en-US"/>
        </w:rPr>
        <w:t xml:space="preserve"> encourage </w:t>
      </w:r>
      <w:r w:rsidR="00432AD2" w:rsidRPr="00822732">
        <w:rPr>
          <w:rFonts w:ascii="Times New Roman" w:hAnsi="Times New Roman" w:cs="Times New Roman"/>
          <w:lang w:val="en-US"/>
        </w:rPr>
        <w:t xml:space="preserve">you to </w:t>
      </w:r>
      <w:r w:rsidRPr="00F637CF">
        <w:rPr>
          <w:rFonts w:ascii="Times New Roman" w:hAnsi="Times New Roman" w:cs="Times New Roman"/>
          <w:lang w:val="en-US"/>
        </w:rPr>
        <w:t>support Estonia in the Grand Chamber proceedings before the ECHR.</w:t>
      </w:r>
      <w:r w:rsidRPr="00822732">
        <w:rPr>
          <w:rFonts w:ascii="Times New Roman" w:hAnsi="Times New Roman" w:cs="Times New Roman"/>
          <w:lang w:val="en-US"/>
        </w:rPr>
        <w:t xml:space="preserve"> </w:t>
      </w:r>
      <w:r w:rsidRPr="00F637CF">
        <w:rPr>
          <w:rFonts w:ascii="Times New Roman" w:hAnsi="Times New Roman" w:cs="Times New Roman"/>
          <w:lang w:val="en-US"/>
        </w:rPr>
        <w:t xml:space="preserve">It is important to clarify that the ECHR has not recognized </w:t>
      </w:r>
      <w:proofErr w:type="gramStart"/>
      <w:r w:rsidRPr="00F637CF">
        <w:rPr>
          <w:rFonts w:ascii="Times New Roman" w:hAnsi="Times New Roman" w:cs="Times New Roman"/>
          <w:lang w:val="en-US"/>
        </w:rPr>
        <w:t>a right</w:t>
      </w:r>
      <w:proofErr w:type="gramEnd"/>
      <w:r w:rsidRPr="00F637CF">
        <w:rPr>
          <w:rFonts w:ascii="Times New Roman" w:hAnsi="Times New Roman" w:cs="Times New Roman"/>
          <w:lang w:val="en-US"/>
        </w:rPr>
        <w:t xml:space="preserve"> of detainees to smoke—the dispute primarily concerns the adequacy of reasoning and the states’ margin of appreciation.</w:t>
      </w:r>
    </w:p>
    <w:p w14:paraId="35833960" w14:textId="07F33A0E" w:rsidR="00B47F1B" w:rsidRPr="00822732" w:rsidRDefault="00B47F1B" w:rsidP="00B47F1B">
      <w:pPr>
        <w:jc w:val="both"/>
        <w:rPr>
          <w:rFonts w:ascii="Times New Roman" w:hAnsi="Times New Roman" w:cs="Times New Roman"/>
          <w:lang w:val="en-US"/>
        </w:rPr>
      </w:pPr>
      <w:r w:rsidRPr="00B47F1B">
        <w:rPr>
          <w:rFonts w:ascii="Times New Roman" w:hAnsi="Times New Roman" w:cs="Times New Roman"/>
          <w:b/>
          <w:bCs/>
          <w:lang w:val="en-US"/>
        </w:rPr>
        <w:t>Background:</w:t>
      </w:r>
      <w:r w:rsidRPr="00B47F1B">
        <w:rPr>
          <w:rFonts w:ascii="Times New Roman" w:hAnsi="Times New Roman" w:cs="Times New Roman"/>
          <w:lang w:val="en-US"/>
        </w:rPr>
        <w:t xml:space="preserve"> In 2017, Estonia introduced a complete smoking ban in prisons. Four detainees challenged the ban in court, claiming a disproportionate restriction </w:t>
      </w:r>
      <w:proofErr w:type="gramStart"/>
      <w:r w:rsidRPr="00B47F1B">
        <w:rPr>
          <w:rFonts w:ascii="Times New Roman" w:hAnsi="Times New Roman" w:cs="Times New Roman"/>
          <w:lang w:val="en-US"/>
        </w:rPr>
        <w:t>of</w:t>
      </w:r>
      <w:proofErr w:type="gramEnd"/>
      <w:r w:rsidRPr="00B47F1B">
        <w:rPr>
          <w:rFonts w:ascii="Times New Roman" w:hAnsi="Times New Roman" w:cs="Times New Roman"/>
          <w:lang w:val="en-US"/>
        </w:rPr>
        <w:t xml:space="preserve"> their private life.</w:t>
      </w:r>
      <w:r w:rsidRPr="00822732">
        <w:rPr>
          <w:rFonts w:ascii="Times New Roman" w:hAnsi="Times New Roman" w:cs="Times New Roman"/>
          <w:lang w:val="en-US"/>
        </w:rPr>
        <w:t xml:space="preserve"> </w:t>
      </w:r>
      <w:r w:rsidRPr="00B47F1B">
        <w:rPr>
          <w:rFonts w:ascii="Times New Roman" w:hAnsi="Times New Roman" w:cs="Times New Roman"/>
          <w:lang w:val="en-US"/>
        </w:rPr>
        <w:t>In 2019, the Estonian Supreme Court found that the ban was constitutional, serving the aims of health protection and order, and providing support for those wishing to quit smoking.</w:t>
      </w:r>
      <w:r w:rsidRPr="00822732">
        <w:rPr>
          <w:rFonts w:ascii="Times New Roman" w:hAnsi="Times New Roman" w:cs="Times New Roman"/>
          <w:lang w:val="en-US"/>
        </w:rPr>
        <w:t xml:space="preserve"> </w:t>
      </w:r>
      <w:r w:rsidRPr="00B47F1B">
        <w:rPr>
          <w:rFonts w:ascii="Times New Roman" w:hAnsi="Times New Roman" w:cs="Times New Roman"/>
          <w:lang w:val="en-US"/>
        </w:rPr>
        <w:t>On 4 November 2025, the ECHR (by 4 votes to 3) found a violation of Article 8 of the Convention, holding that insufficient consideration had been given to detainees’ private autonomy in introducing the ban.</w:t>
      </w:r>
      <w:r w:rsidRPr="00822732">
        <w:rPr>
          <w:rFonts w:ascii="Times New Roman" w:hAnsi="Times New Roman" w:cs="Times New Roman"/>
          <w:lang w:val="en-US"/>
        </w:rPr>
        <w:t xml:space="preserve"> </w:t>
      </w:r>
      <w:r w:rsidRPr="00B47F1B">
        <w:rPr>
          <w:rFonts w:ascii="Times New Roman" w:hAnsi="Times New Roman" w:cs="Times New Roman"/>
          <w:lang w:val="en-US"/>
        </w:rPr>
        <w:t xml:space="preserve">The </w:t>
      </w:r>
      <w:r w:rsidR="00B532E3" w:rsidRPr="00822732">
        <w:rPr>
          <w:rFonts w:ascii="Times New Roman" w:hAnsi="Times New Roman" w:cs="Times New Roman"/>
          <w:lang w:val="en-US"/>
        </w:rPr>
        <w:t>ECHR</w:t>
      </w:r>
      <w:r w:rsidRPr="00B47F1B">
        <w:rPr>
          <w:rFonts w:ascii="Times New Roman" w:hAnsi="Times New Roman" w:cs="Times New Roman"/>
          <w:lang w:val="en-US"/>
        </w:rPr>
        <w:t xml:space="preserve"> acknowledged the legitimate aims of the ban (protection of health, order, and security) and found no degrading treatment (no violation of Article 3 of the Convention).</w:t>
      </w:r>
      <w:r w:rsidRPr="00822732">
        <w:rPr>
          <w:rFonts w:ascii="Times New Roman" w:hAnsi="Times New Roman" w:cs="Times New Roman"/>
          <w:lang w:val="en-US"/>
        </w:rPr>
        <w:t xml:space="preserve"> </w:t>
      </w:r>
      <w:r w:rsidRPr="00B47F1B">
        <w:rPr>
          <w:rFonts w:ascii="Times New Roman" w:hAnsi="Times New Roman" w:cs="Times New Roman"/>
          <w:lang w:val="en-US"/>
        </w:rPr>
        <w:t>According to the Court, the violation stemmed primarily from shortcomings in the reasoning of the decision, rather than from the nature of the smoking ban itself.</w:t>
      </w:r>
      <w:r w:rsidRPr="00B47F1B">
        <w:rPr>
          <w:rFonts w:ascii="Times New Roman" w:hAnsi="Times New Roman" w:cs="Times New Roman"/>
          <w:lang w:val="en-US"/>
        </w:rPr>
        <w:br/>
        <w:t>Estonia requested a referral of the case, emphasizing its fundamental importance for prison policy across European states.</w:t>
      </w:r>
      <w:r w:rsidRPr="00822732">
        <w:rPr>
          <w:rFonts w:ascii="Times New Roman" w:hAnsi="Times New Roman" w:cs="Times New Roman"/>
          <w:lang w:val="en-US"/>
        </w:rPr>
        <w:t xml:space="preserve"> </w:t>
      </w:r>
      <w:r w:rsidRPr="00B47F1B">
        <w:rPr>
          <w:rFonts w:ascii="Times New Roman" w:hAnsi="Times New Roman" w:cs="Times New Roman"/>
          <w:lang w:val="en-US"/>
        </w:rPr>
        <w:t>On 23 March 2026, the Grand Chamber</w:t>
      </w:r>
      <w:r w:rsidR="00B532E3" w:rsidRPr="00822732">
        <w:rPr>
          <w:rFonts w:ascii="Times New Roman" w:hAnsi="Times New Roman" w:cs="Times New Roman"/>
          <w:lang w:val="en-US"/>
        </w:rPr>
        <w:t xml:space="preserve"> of ECHR</w:t>
      </w:r>
      <w:r w:rsidRPr="00B47F1B">
        <w:rPr>
          <w:rFonts w:ascii="Times New Roman" w:hAnsi="Times New Roman" w:cs="Times New Roman"/>
          <w:lang w:val="en-US"/>
        </w:rPr>
        <w:t xml:space="preserve"> accepted the case for examination, confirming that the issue is of significant legal and societal importance. A final judgment is expected in 2027.</w:t>
      </w:r>
    </w:p>
    <w:p w14:paraId="44B0E836" w14:textId="77777777" w:rsidR="00AA72F4" w:rsidRPr="00AA72F4" w:rsidRDefault="00AA72F4" w:rsidP="00AA72F4">
      <w:pPr>
        <w:jc w:val="both"/>
        <w:rPr>
          <w:rFonts w:ascii="Times New Roman" w:hAnsi="Times New Roman" w:cs="Times New Roman"/>
          <w:lang w:val="en-US"/>
        </w:rPr>
      </w:pPr>
      <w:r w:rsidRPr="00AA72F4">
        <w:rPr>
          <w:rFonts w:ascii="Times New Roman" w:hAnsi="Times New Roman" w:cs="Times New Roman"/>
          <w:b/>
          <w:bCs/>
          <w:lang w:val="en-US"/>
        </w:rPr>
        <w:t>Key developments:</w:t>
      </w:r>
    </w:p>
    <w:p w14:paraId="51C92AD8" w14:textId="77777777" w:rsidR="00AA72F4" w:rsidRPr="00AA72F4" w:rsidRDefault="00AA72F4" w:rsidP="00AA72F4">
      <w:pPr>
        <w:numPr>
          <w:ilvl w:val="0"/>
          <w:numId w:val="1"/>
        </w:numPr>
        <w:jc w:val="both"/>
        <w:rPr>
          <w:rFonts w:ascii="Times New Roman" w:hAnsi="Times New Roman" w:cs="Times New Roman"/>
          <w:lang w:val="en-US"/>
        </w:rPr>
      </w:pPr>
      <w:r w:rsidRPr="00AA72F4">
        <w:rPr>
          <w:rFonts w:ascii="Times New Roman" w:hAnsi="Times New Roman" w:cs="Times New Roman"/>
          <w:lang w:val="en-US"/>
        </w:rPr>
        <w:t>The ECHR Chamber’s 4–3 judgment and the three separate opinions demonstrate that the issue is contentious and requires clarification by the Grand Chamber.</w:t>
      </w:r>
    </w:p>
    <w:p w14:paraId="2D7D8865" w14:textId="77777777" w:rsidR="00AA72F4" w:rsidRPr="00AA72F4" w:rsidRDefault="00AA72F4" w:rsidP="00AA72F4">
      <w:pPr>
        <w:numPr>
          <w:ilvl w:val="0"/>
          <w:numId w:val="1"/>
        </w:numPr>
        <w:jc w:val="both"/>
        <w:rPr>
          <w:rFonts w:ascii="Times New Roman" w:hAnsi="Times New Roman" w:cs="Times New Roman"/>
          <w:lang w:val="en-US"/>
        </w:rPr>
      </w:pPr>
      <w:r w:rsidRPr="00AA72F4">
        <w:rPr>
          <w:rFonts w:ascii="Times New Roman" w:hAnsi="Times New Roman" w:cs="Times New Roman"/>
          <w:b/>
          <w:bCs/>
          <w:lang w:val="en-US"/>
        </w:rPr>
        <w:t>Broader context:</w:t>
      </w:r>
      <w:r w:rsidRPr="00AA72F4">
        <w:rPr>
          <w:rFonts w:ascii="Times New Roman" w:hAnsi="Times New Roman" w:cs="Times New Roman"/>
          <w:lang w:val="en-US"/>
        </w:rPr>
        <w:t xml:space="preserve"> Prison practices across Europe vary—most states allow detainees to smoke to some extent (e.g. in outdoor areas or designated cells); a total ban is rare. Estonia is essentially the only European country with fully smoke-free prisons. At the same time, the WHO has recommended smoke-free prisons to achieve public health objectives.</w:t>
      </w:r>
    </w:p>
    <w:p w14:paraId="43E6620F" w14:textId="77777777" w:rsidR="00AA72F4" w:rsidRPr="00AA72F4" w:rsidRDefault="00AA72F4" w:rsidP="00AA72F4">
      <w:pPr>
        <w:numPr>
          <w:ilvl w:val="0"/>
          <w:numId w:val="1"/>
        </w:numPr>
        <w:jc w:val="both"/>
        <w:rPr>
          <w:rFonts w:ascii="Times New Roman" w:hAnsi="Times New Roman" w:cs="Times New Roman"/>
          <w:lang w:val="en-US"/>
        </w:rPr>
      </w:pPr>
      <w:r w:rsidRPr="00AA72F4">
        <w:rPr>
          <w:rFonts w:ascii="Times New Roman" w:hAnsi="Times New Roman" w:cs="Times New Roman"/>
          <w:lang w:val="en-US"/>
        </w:rPr>
        <w:t>The Grand Chamber will set a precedent: whether restrictions on smoking in prison fall within the state’s margin of appreciation, or whether limits will be imposed that could affect the policies of many countries in the future.</w:t>
      </w:r>
    </w:p>
    <w:p w14:paraId="784CAB58" w14:textId="77777777" w:rsidR="00AA72F4" w:rsidRPr="00AA72F4" w:rsidRDefault="00AA72F4" w:rsidP="00AA72F4">
      <w:pPr>
        <w:numPr>
          <w:ilvl w:val="0"/>
          <w:numId w:val="1"/>
        </w:numPr>
        <w:jc w:val="both"/>
        <w:rPr>
          <w:rFonts w:ascii="Times New Roman" w:hAnsi="Times New Roman" w:cs="Times New Roman"/>
          <w:lang w:val="en-US"/>
        </w:rPr>
      </w:pPr>
      <w:r w:rsidRPr="00AA72F4">
        <w:rPr>
          <w:rFonts w:ascii="Times New Roman" w:hAnsi="Times New Roman" w:cs="Times New Roman"/>
          <w:lang w:val="en-US"/>
        </w:rPr>
        <w:t>Estonia emphasizes that Article 8 of the Convention protects private life, but restricting smoking habits falls within the state’s margin of appreciation when justified by public health and safety considerations.</w:t>
      </w:r>
    </w:p>
    <w:p w14:paraId="30563D44" w14:textId="77777777" w:rsidR="00AA72F4" w:rsidRPr="00AA72F4" w:rsidRDefault="00AA72F4" w:rsidP="00AA72F4">
      <w:pPr>
        <w:numPr>
          <w:ilvl w:val="0"/>
          <w:numId w:val="1"/>
        </w:numPr>
        <w:jc w:val="both"/>
        <w:rPr>
          <w:rFonts w:ascii="Times New Roman" w:hAnsi="Times New Roman" w:cs="Times New Roman"/>
          <w:lang w:val="en-US"/>
        </w:rPr>
      </w:pPr>
      <w:r w:rsidRPr="00AA72F4">
        <w:rPr>
          <w:rFonts w:ascii="Times New Roman" w:hAnsi="Times New Roman" w:cs="Times New Roman"/>
          <w:b/>
          <w:bCs/>
          <w:lang w:val="en-US"/>
        </w:rPr>
        <w:t>Public reactions:</w:t>
      </w:r>
      <w:r w:rsidRPr="00AA72F4">
        <w:rPr>
          <w:rFonts w:ascii="Times New Roman" w:hAnsi="Times New Roman" w:cs="Times New Roman"/>
          <w:lang w:val="en-US"/>
        </w:rPr>
        <w:t xml:space="preserve"> Some members of the public misinterpreted the ECHR judgment as establishing a “right of prisoners to smoke.” Estonia has corrected this </w:t>
      </w:r>
      <w:r w:rsidRPr="00AA72F4">
        <w:rPr>
          <w:rFonts w:ascii="Times New Roman" w:hAnsi="Times New Roman" w:cs="Times New Roman"/>
          <w:lang w:val="en-US"/>
        </w:rPr>
        <w:lastRenderedPageBreak/>
        <w:t>misunderstanding, stressing that the judgment does not require lifting the ban, but only providing more thorough reasoning.</w:t>
      </w:r>
    </w:p>
    <w:p w14:paraId="77791B90" w14:textId="77777777" w:rsidR="00AA72F4" w:rsidRPr="00822732" w:rsidRDefault="00AA72F4" w:rsidP="00AA72F4">
      <w:pPr>
        <w:jc w:val="both"/>
        <w:rPr>
          <w:rFonts w:ascii="Times New Roman" w:hAnsi="Times New Roman" w:cs="Times New Roman"/>
          <w:lang w:val="en-US"/>
        </w:rPr>
      </w:pPr>
      <w:r w:rsidRPr="00AA72F4">
        <w:rPr>
          <w:rFonts w:ascii="Times New Roman" w:hAnsi="Times New Roman" w:cs="Times New Roman"/>
          <w:b/>
          <w:bCs/>
          <w:lang w:val="en-US"/>
        </w:rPr>
        <w:t>Assessment:</w:t>
      </w:r>
      <w:r w:rsidRPr="00AA72F4">
        <w:rPr>
          <w:rFonts w:ascii="Times New Roman" w:hAnsi="Times New Roman" w:cs="Times New Roman"/>
          <w:lang w:val="en-US"/>
        </w:rPr>
        <w:br/>
        <w:t>The Grand Chamber proceedings have fundamental importance for European human rights practice, as the outcome will determine whether states retain their margin of appreciation in prison policy. It is questionable whether smoking, as a knowingly harmful habit, should fall within the scope of protection under the Convention at all, given that the ECHR does not explicitly provide for such a “right to smoke.” The issue lies not in the smoking ban itself, but in the adequacy of its justification.</w:t>
      </w:r>
    </w:p>
    <w:p w14:paraId="2801A730" w14:textId="7FFD998D" w:rsidR="002D18E9" w:rsidRPr="002D18E9" w:rsidRDefault="002D18E9" w:rsidP="002D18E9">
      <w:pPr>
        <w:jc w:val="both"/>
        <w:rPr>
          <w:rFonts w:ascii="Times New Roman" w:hAnsi="Times New Roman" w:cs="Times New Roman"/>
          <w:lang w:val="en-US"/>
        </w:rPr>
      </w:pPr>
      <w:r w:rsidRPr="002D18E9">
        <w:rPr>
          <w:rFonts w:ascii="Times New Roman" w:hAnsi="Times New Roman" w:cs="Times New Roman"/>
          <w:b/>
          <w:bCs/>
          <w:lang w:val="en-US"/>
        </w:rPr>
        <w:t>Estonia’s main arguments:</w:t>
      </w:r>
    </w:p>
    <w:p w14:paraId="64DA782B" w14:textId="77777777" w:rsidR="007E3781" w:rsidRPr="00822732" w:rsidRDefault="002D18E9" w:rsidP="002D18E9">
      <w:pPr>
        <w:numPr>
          <w:ilvl w:val="0"/>
          <w:numId w:val="2"/>
        </w:numPr>
        <w:jc w:val="both"/>
        <w:rPr>
          <w:rFonts w:ascii="Times New Roman" w:hAnsi="Times New Roman" w:cs="Times New Roman"/>
          <w:lang w:val="en-US"/>
        </w:rPr>
      </w:pPr>
      <w:r w:rsidRPr="002D18E9">
        <w:rPr>
          <w:rFonts w:ascii="Times New Roman" w:hAnsi="Times New Roman" w:cs="Times New Roman"/>
          <w:b/>
          <w:bCs/>
          <w:lang w:val="en-US"/>
        </w:rPr>
        <w:t>Public health and safety:</w:t>
      </w:r>
      <w:r w:rsidRPr="002D18E9">
        <w:rPr>
          <w:rFonts w:ascii="Times New Roman" w:hAnsi="Times New Roman" w:cs="Times New Roman"/>
          <w:lang w:val="en-US"/>
        </w:rPr>
        <w:t xml:space="preserve"> </w:t>
      </w:r>
    </w:p>
    <w:p w14:paraId="6277A125" w14:textId="40CA022B" w:rsidR="002D18E9" w:rsidRPr="002D18E9" w:rsidRDefault="002D18E9" w:rsidP="007E3781">
      <w:pPr>
        <w:jc w:val="both"/>
        <w:rPr>
          <w:rFonts w:ascii="Times New Roman" w:hAnsi="Times New Roman" w:cs="Times New Roman"/>
          <w:lang w:val="en-US"/>
        </w:rPr>
      </w:pPr>
      <w:r w:rsidRPr="002D18E9">
        <w:rPr>
          <w:rFonts w:ascii="Times New Roman" w:hAnsi="Times New Roman" w:cs="Times New Roman"/>
          <w:lang w:val="en-US"/>
        </w:rPr>
        <w:t>A smoke-free prison protects the health of both detainees and staff and reduces security risks (tobacco cannot be used as illicit currency, and fire hazards and conflicts are reduced).</w:t>
      </w:r>
      <w:r w:rsidR="007E3781" w:rsidRPr="00822732">
        <w:rPr>
          <w:rFonts w:ascii="Times New Roman" w:hAnsi="Times New Roman" w:cs="Times New Roman"/>
          <w:lang w:val="en-US"/>
        </w:rPr>
        <w:t xml:space="preserve"> </w:t>
      </w:r>
      <w:r w:rsidRPr="002D18E9">
        <w:rPr>
          <w:rFonts w:ascii="Times New Roman" w:hAnsi="Times New Roman" w:cs="Times New Roman"/>
          <w:lang w:val="en-US"/>
        </w:rPr>
        <w:t xml:space="preserve">A prison is both a workplace and a living environment where passive </w:t>
      </w:r>
      <w:r w:rsidR="007E3781" w:rsidRPr="00822732">
        <w:rPr>
          <w:rFonts w:ascii="Times New Roman" w:hAnsi="Times New Roman" w:cs="Times New Roman"/>
          <w:lang w:val="en-US"/>
        </w:rPr>
        <w:t xml:space="preserve">(second-hand) </w:t>
      </w:r>
      <w:r w:rsidRPr="002D18E9">
        <w:rPr>
          <w:rFonts w:ascii="Times New Roman" w:hAnsi="Times New Roman" w:cs="Times New Roman"/>
          <w:lang w:val="en-US"/>
        </w:rPr>
        <w:t>smoking poses a serious health risk. According to the World Health Organization (WHO), there is no safe level of exposure to tobacco smoke, and effective protection can only be achieved through a completely smoke-free environment. Under European Union law, employers must ensure a safe working environment. Directive 89/391/EEC requires employers to protect workers’ health and prevent risks at their source, including exposure to tobacco smoke.</w:t>
      </w:r>
    </w:p>
    <w:p w14:paraId="226DF7F0" w14:textId="77777777" w:rsidR="002D18E9" w:rsidRPr="002D18E9" w:rsidRDefault="002D18E9" w:rsidP="002D18E9">
      <w:pPr>
        <w:jc w:val="both"/>
        <w:rPr>
          <w:rFonts w:ascii="Times New Roman" w:hAnsi="Times New Roman" w:cs="Times New Roman"/>
          <w:lang w:val="en-US"/>
        </w:rPr>
      </w:pPr>
      <w:r w:rsidRPr="002D18E9">
        <w:rPr>
          <w:rFonts w:ascii="Times New Roman" w:hAnsi="Times New Roman" w:cs="Times New Roman"/>
          <w:lang w:val="en-US"/>
        </w:rPr>
        <w:t>The regulation of tobacco use is also governed by the WHO Framework Convention on Tobacco Control (FCTC), which links protection from tobacco smoke to human rights, including the rights to life and health (e.g. the WHO Constitution, the Convention on the Rights of the Child, the Convention on the Elimination of All Forms of Discrimination against Women, and the International Covenant on Economic, Social and Cultural Rights). Under Article 8 of the FCTC, effective protection requires a 100% smoke-free environment, and alternative measures such as ventilation or designated smoking areas are not effective. Therefore, a total smoking ban is a justified measure to protect the health of employees and others.</w:t>
      </w:r>
    </w:p>
    <w:p w14:paraId="6FCD7073" w14:textId="77777777" w:rsidR="002D18E9" w:rsidRPr="002D18E9" w:rsidRDefault="002D18E9" w:rsidP="002D18E9">
      <w:pPr>
        <w:jc w:val="both"/>
        <w:rPr>
          <w:rFonts w:ascii="Times New Roman" w:hAnsi="Times New Roman" w:cs="Times New Roman"/>
          <w:lang w:val="en-US"/>
        </w:rPr>
      </w:pPr>
      <w:r w:rsidRPr="002D18E9">
        <w:rPr>
          <w:rFonts w:ascii="Times New Roman" w:hAnsi="Times New Roman" w:cs="Times New Roman"/>
          <w:lang w:val="en-US"/>
        </w:rPr>
        <w:t>A smoking ban in prisons significantly reduces the resources needed to prevent indoor smoking, conduct searches, ensure supervision, respond to fires, and combat the illegal handling of cigarettes. Detecting cigarettes is often difficult and may require extensive and burdensome searches. The ban reduces the illegal entry of cigarettes and the associated security and fire risks arising from improvised ignition devices and modified equipment. It also limits the use of cigarettes as a means of exchange or payment in prison, preventing illicit debt relationships and the formation of subcultural hierarchies. For these reasons, a total smoking ban within prison premises is an appropriate measure to protect health, strengthen security, and ensure more effective supervision.</w:t>
      </w:r>
    </w:p>
    <w:p w14:paraId="375FE9CF" w14:textId="77777777" w:rsidR="002D18E9" w:rsidRPr="002D18E9" w:rsidRDefault="002D18E9" w:rsidP="002D18E9">
      <w:pPr>
        <w:numPr>
          <w:ilvl w:val="0"/>
          <w:numId w:val="2"/>
        </w:numPr>
        <w:jc w:val="both"/>
        <w:rPr>
          <w:rFonts w:ascii="Times New Roman" w:hAnsi="Times New Roman" w:cs="Times New Roman"/>
          <w:lang w:val="en-US"/>
        </w:rPr>
      </w:pPr>
      <w:r w:rsidRPr="002D18E9">
        <w:rPr>
          <w:rFonts w:ascii="Times New Roman" w:hAnsi="Times New Roman" w:cs="Times New Roman"/>
          <w:b/>
          <w:bCs/>
          <w:lang w:val="en-US"/>
        </w:rPr>
        <w:t>Impact and effectiveness:</w:t>
      </w:r>
      <w:r w:rsidRPr="002D18E9">
        <w:rPr>
          <w:rFonts w:ascii="Times New Roman" w:hAnsi="Times New Roman" w:cs="Times New Roman"/>
          <w:lang w:val="en-US"/>
        </w:rPr>
        <w:t xml:space="preserve"> Limited smoking areas only mitigated the problem; a total ban resolved smoking-related disturbances. The ban reduced confrontations and administrative burden and improved the working environment.</w:t>
      </w:r>
    </w:p>
    <w:p w14:paraId="759971C1" w14:textId="506B5C97" w:rsidR="002D18E9" w:rsidRPr="002D18E9" w:rsidRDefault="002D18E9" w:rsidP="00822732">
      <w:pPr>
        <w:numPr>
          <w:ilvl w:val="0"/>
          <w:numId w:val="2"/>
        </w:numPr>
        <w:jc w:val="both"/>
        <w:rPr>
          <w:rFonts w:ascii="Times New Roman" w:hAnsi="Times New Roman" w:cs="Times New Roman"/>
          <w:lang w:val="en-US"/>
        </w:rPr>
      </w:pPr>
      <w:r w:rsidRPr="002D18E9">
        <w:rPr>
          <w:rFonts w:ascii="Times New Roman" w:hAnsi="Times New Roman" w:cs="Times New Roman"/>
          <w:b/>
          <w:bCs/>
          <w:lang w:val="en-US"/>
        </w:rPr>
        <w:lastRenderedPageBreak/>
        <w:t>Proportionality and human dignity:</w:t>
      </w:r>
      <w:r w:rsidRPr="002D18E9">
        <w:rPr>
          <w:rFonts w:ascii="Times New Roman" w:hAnsi="Times New Roman" w:cs="Times New Roman"/>
          <w:lang w:val="en-US"/>
        </w:rPr>
        <w:t xml:space="preserve"> The ban was implemented gradually and with accompanying measures (counselling, nicotine replacement therapy</w:t>
      </w:r>
      <w:proofErr w:type="gramStart"/>
      <w:r w:rsidRPr="002D18E9">
        <w:rPr>
          <w:rFonts w:ascii="Times New Roman" w:hAnsi="Times New Roman" w:cs="Times New Roman"/>
          <w:lang w:val="en-US"/>
        </w:rPr>
        <w:t>),</w:t>
      </w:r>
      <w:r w:rsidR="00822732" w:rsidRPr="00822732">
        <w:rPr>
          <w:rFonts w:ascii="Times New Roman" w:hAnsi="Times New Roman" w:cs="Times New Roman"/>
          <w:lang w:val="en-US"/>
        </w:rPr>
        <w:t xml:space="preserve"> </w:t>
      </w:r>
      <w:r w:rsidRPr="002D18E9">
        <w:rPr>
          <w:rFonts w:ascii="Times New Roman" w:hAnsi="Times New Roman" w:cs="Times New Roman"/>
          <w:lang w:val="en-US"/>
        </w:rPr>
        <w:t>and</w:t>
      </w:r>
      <w:proofErr w:type="gramEnd"/>
      <w:r w:rsidRPr="002D18E9">
        <w:rPr>
          <w:rFonts w:ascii="Times New Roman" w:hAnsi="Times New Roman" w:cs="Times New Roman"/>
          <w:lang w:val="en-US"/>
        </w:rPr>
        <w:t xml:space="preserve"> therefore did not cause excessive suffering (no violation of Article 3 of the Convention was found). The smoking ban is not punitive, but a measure to ensure health and safety.</w:t>
      </w:r>
    </w:p>
    <w:p w14:paraId="1AADE4DD" w14:textId="77777777" w:rsidR="002D18E9" w:rsidRPr="002D18E9" w:rsidRDefault="002D18E9" w:rsidP="002D18E9">
      <w:pPr>
        <w:numPr>
          <w:ilvl w:val="0"/>
          <w:numId w:val="2"/>
        </w:numPr>
        <w:jc w:val="both"/>
        <w:rPr>
          <w:rFonts w:ascii="Times New Roman" w:hAnsi="Times New Roman" w:cs="Times New Roman"/>
          <w:lang w:val="en-US"/>
        </w:rPr>
      </w:pPr>
      <w:r w:rsidRPr="002D18E9">
        <w:rPr>
          <w:rFonts w:ascii="Times New Roman" w:hAnsi="Times New Roman" w:cs="Times New Roman"/>
          <w:b/>
          <w:bCs/>
          <w:lang w:val="en-US"/>
        </w:rPr>
        <w:t>Limits of autonomy:</w:t>
      </w:r>
      <w:r w:rsidRPr="002D18E9">
        <w:rPr>
          <w:rFonts w:ascii="Times New Roman" w:hAnsi="Times New Roman" w:cs="Times New Roman"/>
          <w:lang w:val="en-US"/>
        </w:rPr>
        <w:t xml:space="preserve"> In prison, detainees’ autonomy is inevitably restricted—the state is obliged to protect the health and safety of others. The ECHR does not require states to allow detainees to smoke.</w:t>
      </w:r>
    </w:p>
    <w:p w14:paraId="1C31AD8E" w14:textId="77777777" w:rsidR="002D18E9" w:rsidRPr="002D18E9" w:rsidRDefault="002D18E9" w:rsidP="002D18E9">
      <w:pPr>
        <w:numPr>
          <w:ilvl w:val="0"/>
          <w:numId w:val="2"/>
        </w:numPr>
        <w:jc w:val="both"/>
        <w:rPr>
          <w:rFonts w:ascii="Times New Roman" w:hAnsi="Times New Roman" w:cs="Times New Roman"/>
          <w:lang w:val="en-US"/>
        </w:rPr>
      </w:pPr>
      <w:r w:rsidRPr="002D18E9">
        <w:rPr>
          <w:rFonts w:ascii="Times New Roman" w:hAnsi="Times New Roman" w:cs="Times New Roman"/>
          <w:b/>
          <w:bCs/>
          <w:lang w:val="en-US"/>
        </w:rPr>
        <w:t>Margin of appreciation:</w:t>
      </w:r>
      <w:r w:rsidRPr="002D18E9">
        <w:rPr>
          <w:rFonts w:ascii="Times New Roman" w:hAnsi="Times New Roman" w:cs="Times New Roman"/>
          <w:lang w:val="en-US"/>
        </w:rPr>
        <w:t xml:space="preserve"> A smoke-free prison is a matter of prison policy, in which the state enjoys a wide margin of appreciation. Member States must be able to decide how to ensure public health and prison security—interference by the ECHR is justified only in exceptional cases.</w:t>
      </w:r>
    </w:p>
    <w:p w14:paraId="73518547" w14:textId="77777777" w:rsidR="002D18E9" w:rsidRPr="00AA72F4" w:rsidRDefault="002D18E9" w:rsidP="00AA72F4">
      <w:pPr>
        <w:jc w:val="both"/>
        <w:rPr>
          <w:rFonts w:ascii="Times New Roman" w:hAnsi="Times New Roman" w:cs="Times New Roman"/>
          <w:lang w:val="en-US"/>
        </w:rPr>
      </w:pPr>
    </w:p>
    <w:p w14:paraId="284522A7" w14:textId="77777777" w:rsidR="00AA72F4" w:rsidRPr="00B47F1B" w:rsidRDefault="00AA72F4" w:rsidP="00B47F1B">
      <w:pPr>
        <w:jc w:val="both"/>
        <w:rPr>
          <w:rFonts w:ascii="Times New Roman" w:hAnsi="Times New Roman" w:cs="Times New Roman"/>
          <w:lang w:val="en-US"/>
        </w:rPr>
      </w:pPr>
    </w:p>
    <w:p w14:paraId="0D6A6BEB" w14:textId="77777777" w:rsidR="00F637CF" w:rsidRPr="00F637CF" w:rsidRDefault="00F637CF" w:rsidP="00F637CF">
      <w:pPr>
        <w:jc w:val="both"/>
        <w:rPr>
          <w:rFonts w:ascii="Times New Roman" w:hAnsi="Times New Roman" w:cs="Times New Roman"/>
          <w:lang w:val="en-US"/>
        </w:rPr>
      </w:pPr>
    </w:p>
    <w:p w14:paraId="0E146AC3" w14:textId="77777777" w:rsidR="0074472C" w:rsidRPr="00822732" w:rsidRDefault="0074472C">
      <w:pPr>
        <w:rPr>
          <w:rFonts w:ascii="Times New Roman" w:hAnsi="Times New Roman" w:cs="Times New Roman"/>
          <w:lang w:val="en-US"/>
        </w:rPr>
      </w:pPr>
    </w:p>
    <w:sectPr w:rsidR="0074472C" w:rsidRPr="00822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40B5"/>
    <w:multiLevelType w:val="multilevel"/>
    <w:tmpl w:val="3C3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10B0D"/>
    <w:multiLevelType w:val="multilevel"/>
    <w:tmpl w:val="6AB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624884">
    <w:abstractNumId w:val="0"/>
  </w:num>
  <w:num w:numId="2" w16cid:durableId="184570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22"/>
    <w:rsid w:val="00017563"/>
    <w:rsid w:val="001D6213"/>
    <w:rsid w:val="002D18E9"/>
    <w:rsid w:val="00331CE6"/>
    <w:rsid w:val="00374E4B"/>
    <w:rsid w:val="00432AD2"/>
    <w:rsid w:val="004F6922"/>
    <w:rsid w:val="0074472C"/>
    <w:rsid w:val="007E3781"/>
    <w:rsid w:val="00822732"/>
    <w:rsid w:val="00843EB1"/>
    <w:rsid w:val="00AA72F4"/>
    <w:rsid w:val="00B47F1B"/>
    <w:rsid w:val="00B532E3"/>
    <w:rsid w:val="00C0520F"/>
    <w:rsid w:val="00D70B06"/>
    <w:rsid w:val="00F637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FA10"/>
  <w15:chartTrackingRefBased/>
  <w15:docId w15:val="{1EAD94AA-2DE5-46B2-8DCD-2AEC631F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F6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F6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F692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F692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F692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F692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F692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F692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F692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F692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F692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F692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F692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F692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F692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F692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F692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F692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F6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F692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F692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F692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F6922"/>
    <w:pPr>
      <w:spacing w:before="160"/>
      <w:jc w:val="center"/>
    </w:pPr>
    <w:rPr>
      <w:i/>
      <w:iCs/>
      <w:color w:val="404040" w:themeColor="text1" w:themeTint="BF"/>
    </w:rPr>
  </w:style>
  <w:style w:type="character" w:customStyle="1" w:styleId="TsitaatMrk">
    <w:name w:val="Tsitaat Märk"/>
    <w:basedOn w:val="Liguvaikefont"/>
    <w:link w:val="Tsitaat"/>
    <w:uiPriority w:val="29"/>
    <w:rsid w:val="004F6922"/>
    <w:rPr>
      <w:i/>
      <w:iCs/>
      <w:color w:val="404040" w:themeColor="text1" w:themeTint="BF"/>
    </w:rPr>
  </w:style>
  <w:style w:type="paragraph" w:styleId="Loendilik">
    <w:name w:val="List Paragraph"/>
    <w:basedOn w:val="Normaallaad"/>
    <w:uiPriority w:val="34"/>
    <w:qFormat/>
    <w:rsid w:val="004F6922"/>
    <w:pPr>
      <w:ind w:left="720"/>
      <w:contextualSpacing/>
    </w:pPr>
  </w:style>
  <w:style w:type="character" w:styleId="Selgeltmrgatavrhutus">
    <w:name w:val="Intense Emphasis"/>
    <w:basedOn w:val="Liguvaikefont"/>
    <w:uiPriority w:val="21"/>
    <w:qFormat/>
    <w:rsid w:val="004F6922"/>
    <w:rPr>
      <w:i/>
      <w:iCs/>
      <w:color w:val="0F4761" w:themeColor="accent1" w:themeShade="BF"/>
    </w:rPr>
  </w:style>
  <w:style w:type="paragraph" w:styleId="Selgeltmrgatavtsitaat">
    <w:name w:val="Intense Quote"/>
    <w:basedOn w:val="Normaallaad"/>
    <w:next w:val="Normaallaad"/>
    <w:link w:val="SelgeltmrgatavtsitaatMrk"/>
    <w:uiPriority w:val="30"/>
    <w:qFormat/>
    <w:rsid w:val="004F6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F6922"/>
    <w:rPr>
      <w:i/>
      <w:iCs/>
      <w:color w:val="0F4761" w:themeColor="accent1" w:themeShade="BF"/>
    </w:rPr>
  </w:style>
  <w:style w:type="character" w:styleId="Selgeltmrgatavviide">
    <w:name w:val="Intense Reference"/>
    <w:basedOn w:val="Liguvaikefont"/>
    <w:uiPriority w:val="32"/>
    <w:qFormat/>
    <w:rsid w:val="004F6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1023</Words>
  <Characters>5939</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Glaase - JUSTDIGI</dc:creator>
  <cp:keywords/>
  <dc:description/>
  <cp:lastModifiedBy>Laura Glaase - JUSTDIGI</cp:lastModifiedBy>
  <cp:revision>13</cp:revision>
  <dcterms:created xsi:type="dcterms:W3CDTF">2026-05-14T11:07:00Z</dcterms:created>
  <dcterms:modified xsi:type="dcterms:W3CDTF">2026-05-14T11:24:00Z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2026-05-14T11:08:22Z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0078b0bd-6e43-48bf-92f0-d816d91c2d2d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